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CB" w:rsidRDefault="00456000">
      <w:r>
        <w:rPr>
          <w:noProof/>
          <w:lang w:eastAsia="de-DE"/>
        </w:rPr>
        <w:drawing>
          <wp:inline distT="0" distB="0" distL="0" distR="0">
            <wp:extent cx="5486400" cy="3200400"/>
            <wp:effectExtent l="19050" t="0" r="19050" b="0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0950CB" w:rsidSect="00FB77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56000"/>
    <w:rsid w:val="000A1A41"/>
    <w:rsid w:val="001A1DAF"/>
    <w:rsid w:val="00456000"/>
    <w:rsid w:val="004C0BBD"/>
    <w:rsid w:val="005946FD"/>
    <w:rsid w:val="00AA79AD"/>
    <w:rsid w:val="00FB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dobe Garamond Pro" w:eastAsiaTheme="minorHAnsi" w:hAnsi="Adobe Garamond Pro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B77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6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6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Arbeitsblat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de-DE"/>
  <c:chart>
    <c:title>
      <c:layout/>
    </c:title>
    <c:plotArea>
      <c:layout/>
      <c:pieChart>
        <c:ser>
          <c:idx val="0"/>
          <c:order val="0"/>
          <c:tx>
            <c:strRef>
              <c:f>Tabelle1!$B$1</c:f>
              <c:strCache>
                <c:ptCount val="1"/>
                <c:pt idx="0">
                  <c:v>Die Kernkompetenzen</c:v>
                </c:pt>
              </c:strCache>
            </c:strRef>
          </c:tx>
          <c:dPt>
            <c:idx val="0"/>
            <c:spPr>
              <a:solidFill>
                <a:schemeClr val="tx2">
                  <a:lumMod val="75000"/>
                </a:schemeClr>
              </a:solidFill>
            </c:spPr>
          </c:dPt>
          <c:dPt>
            <c:idx val="1"/>
            <c:spPr>
              <a:solidFill>
                <a:srgbClr val="C00000"/>
              </a:solidFill>
            </c:spPr>
          </c:dPt>
          <c:dPt>
            <c:idx val="2"/>
            <c:spPr>
              <a:solidFill>
                <a:srgbClr val="FFC000"/>
              </a:solidFill>
            </c:spPr>
          </c:dPt>
          <c:cat>
            <c:strRef>
              <c:f>Tabelle1!$A$2:$A$4</c:f>
              <c:strCache>
                <c:ptCount val="3"/>
                <c:pt idx="0">
                  <c:v>Investmentkomitee</c:v>
                </c:pt>
                <c:pt idx="1">
                  <c:v>Risikomanagement</c:v>
                </c:pt>
                <c:pt idx="2">
                  <c:v>Chancen-Management</c:v>
                </c:pt>
              </c:strCache>
            </c:strRef>
          </c:cat>
          <c:val>
            <c:numRef>
              <c:f>Tabelle1!$B$2:$B$4</c:f>
              <c:numCache>
                <c:formatCode>General</c:formatCode>
                <c:ptCount val="3"/>
                <c:pt idx="0">
                  <c:v>33.33</c:v>
                </c:pt>
                <c:pt idx="1">
                  <c:v>33.33</c:v>
                </c:pt>
                <c:pt idx="2">
                  <c:v>33.33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2015-06-24T12:21:00Z</dcterms:created>
  <dcterms:modified xsi:type="dcterms:W3CDTF">2015-06-24T12:54:00Z</dcterms:modified>
</cp:coreProperties>
</file>